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5CA" w:rsidRPr="00C76481" w:rsidRDefault="006415CA" w:rsidP="006415CA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6379"/>
        <w:jc w:val="right"/>
        <w:rPr>
          <w:rFonts w:ascii="Tahoma" w:hAnsi="Tahoma" w:cs="Tahoma"/>
        </w:rPr>
      </w:pPr>
      <w:r w:rsidRPr="00C76481">
        <w:rPr>
          <w:rFonts w:ascii="Tahoma" w:hAnsi="Tahoma" w:cs="Tahoma"/>
        </w:rPr>
        <w:t>Приложение № 6</w:t>
      </w:r>
    </w:p>
    <w:p w:rsidR="006415CA" w:rsidRPr="00C76481" w:rsidRDefault="006415CA" w:rsidP="006415CA">
      <w:pPr>
        <w:jc w:val="right"/>
        <w:rPr>
          <w:rFonts w:ascii="Tahoma" w:hAnsi="Tahoma" w:cs="Tahoma"/>
        </w:rPr>
      </w:pPr>
      <w:r w:rsidRPr="00C76481">
        <w:rPr>
          <w:rFonts w:ascii="Tahoma" w:hAnsi="Tahoma" w:cs="Tahoma"/>
        </w:rPr>
        <w:tab/>
      </w:r>
      <w:r w:rsidRPr="00C76481">
        <w:rPr>
          <w:rFonts w:ascii="Tahoma" w:hAnsi="Tahoma" w:cs="Tahoma"/>
        </w:rPr>
        <w:tab/>
      </w:r>
      <w:r w:rsidRPr="00C76481">
        <w:rPr>
          <w:rFonts w:ascii="Tahoma" w:hAnsi="Tahoma" w:cs="Tahoma"/>
        </w:rPr>
        <w:tab/>
        <w:t>к договору от _________________ № __________</w:t>
      </w:r>
    </w:p>
    <w:p w:rsidR="006415CA" w:rsidRPr="00C76481" w:rsidRDefault="006415CA" w:rsidP="006415CA">
      <w:pPr>
        <w:jc w:val="center"/>
        <w:rPr>
          <w:rFonts w:ascii="Tahoma" w:hAnsi="Tahoma" w:cs="Tahoma"/>
        </w:rPr>
      </w:pPr>
    </w:p>
    <w:p w:rsidR="006415CA" w:rsidRPr="00C76481" w:rsidRDefault="006415CA" w:rsidP="006415CA">
      <w:pPr>
        <w:jc w:val="center"/>
        <w:rPr>
          <w:rFonts w:ascii="Tahoma" w:hAnsi="Tahoma" w:cs="Tahoma"/>
        </w:rPr>
      </w:pPr>
      <w:r w:rsidRPr="00C76481">
        <w:rPr>
          <w:rFonts w:ascii="Tahoma" w:hAnsi="Tahoma" w:cs="Tahoma"/>
          <w:b/>
        </w:rPr>
        <w:t xml:space="preserve">Порядок действия Сторон по эксплуатации приборов учета </w:t>
      </w:r>
    </w:p>
    <w:p w:rsidR="006415CA" w:rsidRPr="00C76481" w:rsidRDefault="006415CA" w:rsidP="006415CA">
      <w:pPr>
        <w:jc w:val="center"/>
        <w:rPr>
          <w:rFonts w:ascii="Tahoma" w:hAnsi="Tahoma" w:cs="Tahoma"/>
          <w:b/>
        </w:rPr>
      </w:pP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  <w:b/>
        </w:rPr>
      </w:pPr>
      <w:r w:rsidRPr="00C76481">
        <w:rPr>
          <w:rFonts w:ascii="Tahoma" w:hAnsi="Tahoma" w:cs="Tahoma"/>
          <w:b/>
          <w:lang w:val="en-US"/>
        </w:rPr>
        <w:t>I</w:t>
      </w:r>
      <w:r w:rsidRPr="00C76481">
        <w:rPr>
          <w:rFonts w:ascii="Tahoma" w:hAnsi="Tahoma" w:cs="Tahoma"/>
          <w:b/>
        </w:rPr>
        <w:t>. Общие положения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1.1. Настоящий Порядок определяет особенности действий сторон при оборудовании и эксплуатации приборов учета тепловой энергии, горячей воды (теплоносителя) объекта теплоснабжения в соответствии с положениями нормативно-правовых актов Российской Федерации.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  <w:b/>
        </w:rPr>
      </w:pP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  <w:b/>
        </w:rPr>
      </w:pPr>
      <w:r w:rsidRPr="00C76481">
        <w:rPr>
          <w:rFonts w:ascii="Tahoma" w:hAnsi="Tahoma" w:cs="Tahoma"/>
          <w:b/>
          <w:lang w:val="en-US"/>
        </w:rPr>
        <w:t>II</w:t>
      </w:r>
      <w:r w:rsidRPr="00C76481">
        <w:rPr>
          <w:rFonts w:ascii="Tahoma" w:hAnsi="Tahoma" w:cs="Tahoma"/>
          <w:b/>
        </w:rPr>
        <w:t>. Эксплуатация приборов учета.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  <w:b/>
        </w:rPr>
      </w:pP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2.1. Перечень установленных приборов учета с указанием мест их установления и показаниями на момент начала теплоснабжения приводится в Приложении № 8 к настоящему Договору. 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2.2. Количество (объем) тепловой энергии, горячей воды (теплоносителя) поставленной на объект, оборудованный прибором учета, определяется на основании показаний этого прибора учета за расчетный период (расчетный месяц).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2.3. Прием в эксплуатацию приборов учета тепловой энергии осуществляется Ресурсоснабжающей организацией по обращению Абонента. 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2.4. Проверка готовности приборов учета тепловой энергии к эксплуатации осуществляется в начале и по окончании  каждого отопительного сезона, о чем составляется соответствующий акт.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2.5. Приборы учета тепловой энергии должны быть защищены от несанкционированного вмешательства в работу таких приборов учета, нарушающего учет количества тепловой энергии, горячей воды (теплоносителя). Абонент обязан обеспечивать защиту приборов учета тепловой энергии.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2.6. Абонент обязан обеспечивать работоспособность и соблюдение требований к эксплуатации приборов учета, их сохранность и целостность, установку, ремонт или замену приборов учета при их повреждении, поверку приборов учета в сроки, установленные законодательством Российской Федерации. Абонент обязан содержать помещения, в которых расположены приборы учета в состоянии соответствующим требованиям технических регламентов. 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2.7. Абонент обязан обеспечить периодический (не чаще одного раза в квартал) доступ уполномоченных представителей Ресурсоснабжающей организации к приборам учета тепловой энергии и эксплуатационной документации с целью проверки условий их эксплуатации и сохранности, снятия контрольных показаний, а также в любое время при несоблюдении режима потребления тепловой энергии, горячей воды (теплоносителя) или подачи недостоверных показаний приборов учета и в случае необходимости ремонта (замены), поверки приборов учета.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2.8. Для определения количества поставленной на объект тепловой энергии, горячей воды (теплоносителя) Абонент ведет учет потребляемых тепловой энергии, горячей воды (теплоносителя) посредством ведения журнала учёта ежесуточных показаний приборов учёта тепловой энергии и теплоносителя, ежемесячно предоставляет в срок </w:t>
      </w:r>
      <w:r w:rsidR="00E44402">
        <w:rPr>
          <w:rFonts w:ascii="Tahoma" w:hAnsi="Tahoma" w:cs="Tahoma"/>
        </w:rPr>
        <w:t>до 2</w:t>
      </w:r>
      <w:r w:rsidR="00E44402" w:rsidRPr="00CF01FC">
        <w:rPr>
          <w:rFonts w:ascii="Tahoma" w:hAnsi="Tahoma" w:cs="Tahoma"/>
        </w:rPr>
        <w:t>5</w:t>
      </w:r>
      <w:r w:rsidR="00E44402">
        <w:rPr>
          <w:rFonts w:ascii="Tahoma" w:hAnsi="Tahoma" w:cs="Tahoma"/>
        </w:rPr>
        <w:t xml:space="preserve"> (двадцать пятого) </w:t>
      </w:r>
      <w:r w:rsidRPr="00C76481">
        <w:rPr>
          <w:rFonts w:ascii="Tahoma" w:hAnsi="Tahoma" w:cs="Tahoma"/>
        </w:rPr>
        <w:t>числа расчетного месяца в Ресурсоснабжающую организацию отчет о теплопотреблении по форме согласно Приложения № 9 к настоящему Договору.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2.9. Отчет о теплопотреблении по приборам учета, подписанный уполномоченным лицом Абонента, предоставляется нарочным в письменном виде, с приложением архивных данных показаний приборов учета на электронном носителе, если иное не предусмотрено соглашением между Ресурсоснабжающей организацией и Абонентом.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2.10. При установке приборов учета тепловой энергии и теплоносителя не на границе балансовой принадлежности сетей, количество тепловой энергии, горячей воды (теплоносителя) поставленной на объект, определяется по показаниям данных приборов учета с учетом потерь тепловой энергии через изоляцию и потерь, вызванных утечкой теплоносителя на сетях (оборудовании) Абонента от точки поставки до места установки данных приборов, определенных в соответствии с п. 2.11. настоящего Порядка.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2.11. При установке приборов учета не на границе балансовой принадлежности сетей фактические потери тепловой энергии через изоляцию за расчетный период определяются исходя из нормативных потерь в сетях (оборудовании) Абонента до указанных приборов учета, рассчитанных на среднегодовые значения, составляющих</w:t>
      </w:r>
      <w:r w:rsidRPr="00C76481">
        <w:rPr>
          <w:rFonts w:ascii="Tahoma" w:hAnsi="Tahoma" w:cs="Tahoma"/>
          <w:b/>
        </w:rPr>
        <w:t xml:space="preserve"> ___________ Гкал/час</w:t>
      </w:r>
      <w:r w:rsidRPr="00C76481">
        <w:rPr>
          <w:rFonts w:ascii="Tahoma" w:hAnsi="Tahoma" w:cs="Tahoma"/>
        </w:rPr>
        <w:t>, с учетом фактических температурных условий расчетного месяца и фактического количества часов работы теплопринимающих энергоустановок в соответствии с Приложением № 3 к настоящему Договору.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2.12. Производственная утечка теплоносителя и связанные с ней потери тепловой энергии из тепловых сетей и систем теплопотребления Абонента во время ремонта, опрессовки, испытаний, промывки, сезонного заполнения и заполнения новых систем определяются на основании актов, составленных представителями Ресурсоснабжающей организации и Абонента.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lastRenderedPageBreak/>
        <w:t>2.13. При выявлении неисправности приборов учета Абонент в течение одних суток сообщает об этом Ресурсоснабжающей организации. Абонент обеспечивают ремонт и/или замену прибора учета в возможно короткие сроки. Ответственность за умышленный вывод прибора учета из строя или иное воздействие на прибор учета для искажения его показаний определяется действующим законодательством.</w:t>
      </w:r>
    </w:p>
    <w:p w:rsidR="006415CA" w:rsidRPr="00C76481" w:rsidRDefault="006415CA" w:rsidP="006415CA">
      <w:pPr>
        <w:tabs>
          <w:tab w:val="left" w:pos="567"/>
          <w:tab w:val="num" w:pos="1134"/>
        </w:tabs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2.14. При отсутствии УУТЭ количество (объем) </w:t>
      </w:r>
      <w:r w:rsidRPr="00C76481">
        <w:rPr>
          <w:rFonts w:ascii="Tahoma" w:hAnsi="Tahoma" w:cs="Tahoma"/>
          <w:lang w:eastAsia="en-US"/>
        </w:rPr>
        <w:t>тепловой энергии, горячей воды (теплоносителя)</w:t>
      </w:r>
      <w:r w:rsidRPr="00C76481">
        <w:rPr>
          <w:rFonts w:ascii="Tahoma" w:hAnsi="Tahoma" w:cs="Tahoma"/>
        </w:rPr>
        <w:t>, поданного на объект осуществляется расчетным методом, по тепловой нагрузке и часовым объемам, указанным в Приложении №1 к настоящему Договору, и по фактическому времени теплопотребления с корректировкой по фактическому режиму работы источника.</w:t>
      </w:r>
    </w:p>
    <w:p w:rsidR="006415CA" w:rsidRPr="00C76481" w:rsidRDefault="006415CA" w:rsidP="006415CA">
      <w:pPr>
        <w:tabs>
          <w:tab w:val="left" w:pos="0"/>
        </w:tabs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2.15. При неисправности УУТЭ, включая вывод из работы для ремонта, выхода из строя, нарушения сроков предоставления показаний УУТЭ на срок до 15 суток в качестве базового показателя для расчета тепловой энергии, теплоносителя принимается среднесуточное количество тепловой энергии, теплоносителя, определенное по приборам учета за время штатной работы в отчетный период, приведенное к расчетной температуре наружного воздуха. </w:t>
      </w:r>
    </w:p>
    <w:p w:rsidR="006415CA" w:rsidRPr="00C76481" w:rsidRDefault="006415CA" w:rsidP="006415CA">
      <w:pPr>
        <w:numPr>
          <w:ilvl w:val="1"/>
          <w:numId w:val="2"/>
        </w:numPr>
        <w:tabs>
          <w:tab w:val="left" w:pos="0"/>
          <w:tab w:val="num" w:pos="567"/>
        </w:tabs>
        <w:ind w:left="0"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При неисправности УУТЭ, включая вывод из работы для ремонта, выхода из строя, нарушения сроков предоставления показаний УУТЭ на срок свыше 15 суток, а также истечения срока его поверки, расчет количества </w:t>
      </w:r>
      <w:r w:rsidRPr="00C76481">
        <w:rPr>
          <w:rFonts w:ascii="Tahoma" w:hAnsi="Tahoma" w:cs="Tahoma"/>
          <w:lang w:eastAsia="en-US"/>
        </w:rPr>
        <w:t>тепловой энергии, горячей воды (теплоносителя)</w:t>
      </w:r>
      <w:r w:rsidRPr="00C76481">
        <w:rPr>
          <w:rFonts w:ascii="Tahoma" w:hAnsi="Tahoma" w:cs="Tahoma"/>
        </w:rPr>
        <w:t xml:space="preserve"> осуществляется расчетным методом, по тепловой нагрузке и часовым объемам, указанным в Приложении №1 к настоящему Договору и по фактическому времени теплопотребления с корректировкой по фактическому режиму работы источника.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 xml:space="preserve">2.17. При несвоевременном предоставлении Абонентом показаний приборов учета за расчетный период в сроки, установленные п.2.8 настоящего Порядка, определение количества тепловой энергии  производится в соответствии с  п. 2.16 и п. 2.15 настоящего Порядка. 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2.18. Абонент обязан обеспечить допуск Ресурсоснабжающей организации к приборам учета тепловой энергии.</w:t>
      </w:r>
    </w:p>
    <w:p w:rsidR="006415CA" w:rsidRPr="00C76481" w:rsidRDefault="006415CA" w:rsidP="006415CA">
      <w:pPr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2.19. Узел учета тепловой энергии и теплоносителя считается неисправным (вышедшим из строя) в случаях:</w:t>
      </w:r>
    </w:p>
    <w:p w:rsidR="006415CA" w:rsidRPr="00C76481" w:rsidRDefault="006415CA" w:rsidP="006415CA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- несанкционированного вмешательства в его работу;</w:t>
      </w:r>
    </w:p>
    <w:p w:rsidR="006415CA" w:rsidRPr="00C76481" w:rsidRDefault="006415CA" w:rsidP="006415CA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- нарушения пломб на оборудовании узла учета, линий электрических связей;</w:t>
      </w:r>
    </w:p>
    <w:p w:rsidR="006415CA" w:rsidRPr="00C76481" w:rsidRDefault="006415CA" w:rsidP="006415CA">
      <w:pPr>
        <w:pStyle w:val="1"/>
        <w:tabs>
          <w:tab w:val="left" w:pos="142"/>
        </w:tabs>
        <w:spacing w:before="0" w:after="0"/>
        <w:ind w:firstLine="709"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C76481">
        <w:rPr>
          <w:rFonts w:ascii="Tahoma" w:hAnsi="Tahoma" w:cs="Tahoma"/>
          <w:b w:val="0"/>
          <w:sz w:val="20"/>
          <w:szCs w:val="20"/>
        </w:rPr>
        <w:t xml:space="preserve">- механического повреждения приборов и элементов узла учета; работы любого из них за пределами норм точности, установленных Правилами учета тепловой энергии и теплоносителя, утв. Минтопэнерго РФ 12.09 </w:t>
      </w:r>
      <w:smartTag w:uri="urn:schemas-microsoft-com:office:smarttags" w:element="metricconverter">
        <w:smartTagPr>
          <w:attr w:name="ProductID" w:val="1995 г"/>
        </w:smartTagPr>
        <w:r w:rsidRPr="00C76481">
          <w:rPr>
            <w:rFonts w:ascii="Tahoma" w:hAnsi="Tahoma" w:cs="Tahoma"/>
            <w:b w:val="0"/>
            <w:sz w:val="20"/>
            <w:szCs w:val="20"/>
          </w:rPr>
          <w:t>1995 г</w:t>
        </w:r>
      </w:smartTag>
      <w:r w:rsidRPr="00C76481">
        <w:rPr>
          <w:rFonts w:ascii="Tahoma" w:hAnsi="Tahoma" w:cs="Tahoma"/>
          <w:b w:val="0"/>
          <w:sz w:val="20"/>
          <w:szCs w:val="20"/>
        </w:rPr>
        <w:t xml:space="preserve">. № Вк-4936, </w:t>
      </w:r>
      <w:r w:rsidRPr="00C76481">
        <w:rPr>
          <w:rFonts w:ascii="Tahoma" w:hAnsi="Tahoma" w:cs="Tahoma"/>
          <w:b w:val="0"/>
          <w:color w:val="auto"/>
          <w:sz w:val="20"/>
          <w:szCs w:val="20"/>
        </w:rPr>
        <w:t xml:space="preserve">Правилами коммерческого учета тепловой энергии, теплоносителя, утв. </w:t>
      </w:r>
      <w:hyperlink w:anchor="sub_0" w:history="1">
        <w:r w:rsidRPr="00C76481">
          <w:rPr>
            <w:rFonts w:ascii="Tahoma" w:hAnsi="Tahoma" w:cs="Tahoma"/>
            <w:b w:val="0"/>
            <w:color w:val="auto"/>
            <w:sz w:val="20"/>
            <w:szCs w:val="20"/>
          </w:rPr>
          <w:t>Постановлением</w:t>
        </w:r>
      </w:hyperlink>
      <w:r w:rsidRPr="00C76481">
        <w:rPr>
          <w:rFonts w:ascii="Tahoma" w:hAnsi="Tahoma" w:cs="Tahoma"/>
          <w:b w:val="0"/>
          <w:color w:val="auto"/>
          <w:sz w:val="20"/>
          <w:szCs w:val="20"/>
        </w:rPr>
        <w:t xml:space="preserve"> Правительства РФ от 18.11.2013 г. № 1034;</w:t>
      </w:r>
    </w:p>
    <w:p w:rsidR="006415CA" w:rsidRPr="00C76481" w:rsidRDefault="006415CA" w:rsidP="006415CA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- врезок в трубопроводы, не предусмотренных проектом узла учета;</w:t>
      </w:r>
    </w:p>
    <w:p w:rsidR="006415CA" w:rsidRPr="00C76481" w:rsidRDefault="006415CA" w:rsidP="006415CA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- работы приборов узла учета с истекшим сроком поверки;</w:t>
      </w:r>
    </w:p>
    <w:p w:rsidR="006415CA" w:rsidRPr="00C76481" w:rsidRDefault="006415CA" w:rsidP="006415CA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C76481">
        <w:rPr>
          <w:rFonts w:ascii="Tahoma" w:hAnsi="Tahoma" w:cs="Tahoma"/>
        </w:rPr>
        <w:t>- неплотностей в импульсных линиях и вентилях, входящих в состав узла учета;</w:t>
      </w:r>
    </w:p>
    <w:p w:rsidR="006415CA" w:rsidRPr="00C76481" w:rsidRDefault="006415CA" w:rsidP="006415CA">
      <w:pPr>
        <w:pStyle w:val="1"/>
        <w:tabs>
          <w:tab w:val="left" w:pos="142"/>
        </w:tabs>
        <w:spacing w:before="0" w:after="0"/>
        <w:ind w:firstLine="709"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C76481">
        <w:rPr>
          <w:rFonts w:ascii="Tahoma" w:hAnsi="Tahoma" w:cs="Tahoma"/>
          <w:b w:val="0"/>
          <w:color w:val="auto"/>
          <w:sz w:val="20"/>
          <w:szCs w:val="20"/>
        </w:rPr>
        <w:t>- нарушения требований эксплуатации, изложенных в технической документации.</w:t>
      </w:r>
    </w:p>
    <w:p w:rsidR="006415CA" w:rsidRPr="00C76481" w:rsidRDefault="00C76481" w:rsidP="006415CA">
      <w:pPr>
        <w:tabs>
          <w:tab w:val="left" w:pos="3840"/>
        </w:tabs>
        <w:ind w:firstLine="709"/>
        <w:jc w:val="both"/>
        <w:rPr>
          <w:rFonts w:ascii="Tahoma" w:hAnsi="Tahoma" w:cs="Tahoma"/>
        </w:rPr>
      </w:pPr>
      <w:r w:rsidRPr="00743456">
        <w:rPr>
          <w:rFonts w:ascii="Tahoma" w:hAnsi="Tahoma" w:cs="Tahoma"/>
        </w:rPr>
        <w:t>2.20. Абонент обязан предоставить беспрепятственный доступ представителям Ресурсоснабжающей организации к приборам учета тепловой энергии для подключения последних к автоматизированной системе сбора показаний (далее - АССП) и дальнейшего обслуживания системы. Подключение и обслуживание АССП осуществляется на безвозмездной основе. При подключении приборов учета к АССП абонент обязуется обеспечивать сохранность оборудования АССП Ресурсоснабжающей организации. В случае необоснованного отказа в предоставлении доступа Абонент обязан оплатить штраф в размере 50 000,00 руб. за каждый случай отказа в предоставлении доступ</w:t>
      </w:r>
      <w:r w:rsidR="006168D0">
        <w:rPr>
          <w:rFonts w:ascii="Tahoma" w:hAnsi="Tahoma" w:cs="Tahoma"/>
        </w:rPr>
        <w:t>а</w:t>
      </w:r>
      <w:r w:rsidRPr="00743456">
        <w:rPr>
          <w:rFonts w:ascii="Tahoma" w:hAnsi="Tahoma" w:cs="Tahoma"/>
        </w:rPr>
        <w:t xml:space="preserve"> по обращению Ресурсоснабжающей организации.</w:t>
      </w:r>
      <w:r w:rsidR="006415CA" w:rsidRPr="00C76481">
        <w:rPr>
          <w:rFonts w:ascii="Tahoma" w:hAnsi="Tahoma" w:cs="Tahoma"/>
        </w:rPr>
        <w:tab/>
      </w:r>
    </w:p>
    <w:p w:rsidR="006415CA" w:rsidRPr="009108D0" w:rsidRDefault="006415CA" w:rsidP="006415CA">
      <w:pPr>
        <w:ind w:firstLine="709"/>
        <w:jc w:val="both"/>
        <w:rPr>
          <w:rFonts w:ascii="Tahoma" w:hAnsi="Tahoma" w:cs="Tahoma"/>
        </w:rPr>
      </w:pPr>
    </w:p>
    <w:tbl>
      <w:tblPr>
        <w:tblW w:w="0" w:type="auto"/>
        <w:tblCellMar>
          <w:top w:w="142" w:type="dxa"/>
          <w:bottom w:w="142" w:type="dxa"/>
        </w:tblCellMar>
        <w:tblLook w:val="00A0" w:firstRow="1" w:lastRow="0" w:firstColumn="1" w:lastColumn="0" w:noHBand="0" w:noVBand="0"/>
      </w:tblPr>
      <w:tblGrid>
        <w:gridCol w:w="5211"/>
        <w:gridCol w:w="5211"/>
      </w:tblGrid>
      <w:tr w:rsidR="006415CA" w:rsidRPr="009108D0" w:rsidTr="00F01CBA">
        <w:tc>
          <w:tcPr>
            <w:tcW w:w="5211" w:type="dxa"/>
          </w:tcPr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  <w:b/>
              </w:rPr>
              <w:t>Ресурсоснабжающая организация</w:t>
            </w:r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5211" w:type="dxa"/>
          </w:tcPr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  <w:b/>
              </w:rPr>
              <w:t>Абонент</w:t>
            </w:r>
            <w:r>
              <w:rPr>
                <w:rFonts w:ascii="Tahoma" w:hAnsi="Tahoma" w:cs="Tahoma"/>
                <w:b/>
              </w:rPr>
              <w:t>:</w:t>
            </w:r>
          </w:p>
        </w:tc>
      </w:tr>
      <w:tr w:rsidR="006415CA" w:rsidRPr="009108D0" w:rsidTr="00F01CBA">
        <w:tc>
          <w:tcPr>
            <w:tcW w:w="5211" w:type="dxa"/>
          </w:tcPr>
          <w:p w:rsidR="006415CA" w:rsidRPr="009108D0" w:rsidRDefault="00EB6BF9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АО</w:t>
            </w:r>
            <w:bookmarkStart w:id="0" w:name="_GoBack"/>
            <w:bookmarkEnd w:id="0"/>
            <w:r w:rsidR="006415CA">
              <w:rPr>
                <w:rFonts w:ascii="Tahoma" w:hAnsi="Tahoma" w:cs="Tahoma"/>
                <w:b/>
              </w:rPr>
              <w:t xml:space="preserve"> «ТЭК СПб»</w:t>
            </w:r>
          </w:p>
        </w:tc>
        <w:tc>
          <w:tcPr>
            <w:tcW w:w="5211" w:type="dxa"/>
          </w:tcPr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</w:tr>
      <w:tr w:rsidR="006415CA" w:rsidRPr="009108D0" w:rsidTr="00F01CBA">
        <w:tc>
          <w:tcPr>
            <w:tcW w:w="5211" w:type="dxa"/>
          </w:tcPr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5211" w:type="dxa"/>
          </w:tcPr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</w:tr>
      <w:tr w:rsidR="006415CA" w:rsidRPr="009108D0" w:rsidTr="00F01CBA">
        <w:tc>
          <w:tcPr>
            <w:tcW w:w="5211" w:type="dxa"/>
          </w:tcPr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</w:rPr>
              <w:t xml:space="preserve">_______________________ </w:t>
            </w:r>
          </w:p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М</w:t>
            </w:r>
            <w:r w:rsidRPr="009108D0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П</w:t>
            </w:r>
            <w:r w:rsidRPr="009108D0">
              <w:rPr>
                <w:rFonts w:ascii="Tahoma" w:hAnsi="Tahoma" w:cs="Tahoma"/>
              </w:rPr>
              <w:t>.</w:t>
            </w:r>
          </w:p>
        </w:tc>
        <w:tc>
          <w:tcPr>
            <w:tcW w:w="5211" w:type="dxa"/>
          </w:tcPr>
          <w:p w:rsidR="006415CA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</w:rPr>
            </w:pPr>
            <w:r w:rsidRPr="009108D0">
              <w:rPr>
                <w:rFonts w:ascii="Tahoma" w:hAnsi="Tahoma" w:cs="Tahoma"/>
              </w:rPr>
              <w:t xml:space="preserve">_______________________ </w:t>
            </w:r>
          </w:p>
          <w:p w:rsidR="006415CA" w:rsidRPr="009108D0" w:rsidRDefault="006415CA" w:rsidP="00F01CBA">
            <w:pPr>
              <w:tabs>
                <w:tab w:val="left" w:pos="938"/>
              </w:tabs>
              <w:ind w:firstLine="709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М.П.</w:t>
            </w:r>
          </w:p>
        </w:tc>
      </w:tr>
    </w:tbl>
    <w:p w:rsidR="006415CA" w:rsidRPr="009108D0" w:rsidRDefault="006415CA" w:rsidP="006415CA">
      <w:pPr>
        <w:tabs>
          <w:tab w:val="left" w:pos="1276"/>
        </w:tabs>
        <w:ind w:firstLine="709"/>
        <w:jc w:val="both"/>
        <w:rPr>
          <w:rFonts w:ascii="Tahoma" w:hAnsi="Tahoma" w:cs="Tahoma"/>
        </w:rPr>
      </w:pPr>
      <w:r w:rsidRPr="009108D0">
        <w:rPr>
          <w:rFonts w:ascii="Tahoma" w:hAnsi="Tahoma" w:cs="Tahoma"/>
        </w:rPr>
        <w:tab/>
      </w:r>
      <w:r w:rsidRPr="009108D0">
        <w:rPr>
          <w:rFonts w:ascii="Tahoma" w:hAnsi="Tahoma" w:cs="Tahoma"/>
        </w:rPr>
        <w:tab/>
      </w:r>
      <w:r w:rsidRPr="009108D0">
        <w:rPr>
          <w:rFonts w:ascii="Tahoma" w:hAnsi="Tahoma" w:cs="Tahoma"/>
        </w:rPr>
        <w:tab/>
      </w:r>
    </w:p>
    <w:p w:rsidR="006415CA" w:rsidRPr="009108D0" w:rsidRDefault="006415CA" w:rsidP="006415CA">
      <w:pPr>
        <w:shd w:val="clear" w:color="auto" w:fill="FFFFFF"/>
        <w:tabs>
          <w:tab w:val="left" w:pos="284"/>
          <w:tab w:val="left" w:pos="567"/>
          <w:tab w:val="left" w:pos="1276"/>
        </w:tabs>
        <w:ind w:firstLine="709"/>
        <w:jc w:val="both"/>
        <w:rPr>
          <w:rFonts w:ascii="Tahoma" w:hAnsi="Tahoma" w:cs="Tahoma"/>
        </w:rPr>
      </w:pPr>
    </w:p>
    <w:p w:rsidR="006415CA" w:rsidRPr="009108D0" w:rsidRDefault="006415CA" w:rsidP="006415CA">
      <w:pPr>
        <w:ind w:firstLine="709"/>
        <w:jc w:val="both"/>
        <w:rPr>
          <w:rFonts w:ascii="Tahoma" w:hAnsi="Tahoma" w:cs="Tahoma"/>
        </w:rPr>
      </w:pPr>
    </w:p>
    <w:p w:rsidR="00480D99" w:rsidRPr="006415CA" w:rsidRDefault="00480D99" w:rsidP="006415CA"/>
    <w:sectPr w:rsidR="00480D99" w:rsidRPr="006415CA" w:rsidSect="00303230">
      <w:footerReference w:type="default" r:id="rId7"/>
      <w:pgSz w:w="11909" w:h="16834"/>
      <w:pgMar w:top="1134" w:right="567" w:bottom="1134" w:left="1134" w:header="720" w:footer="6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84E" w:rsidRDefault="0045484E" w:rsidP="00634A36">
      <w:r>
        <w:separator/>
      </w:r>
    </w:p>
  </w:endnote>
  <w:endnote w:type="continuationSeparator" w:id="0">
    <w:p w:rsidR="0045484E" w:rsidRDefault="0045484E" w:rsidP="00634A36">
      <w:r>
        <w:continuationSeparator/>
      </w:r>
    </w:p>
  </w:endnote>
  <w:endnote w:type="continuationNotice" w:id="1">
    <w:p w:rsidR="0045484E" w:rsidRDefault="00454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D99" w:rsidRDefault="00480D99" w:rsidP="00B628E3">
    <w:pPr>
      <w:pStyle w:val="a3"/>
      <w:tabs>
        <w:tab w:val="left" w:pos="615"/>
        <w:tab w:val="center" w:pos="5137"/>
      </w:tabs>
    </w:pPr>
    <w:r>
      <w:tab/>
    </w:r>
    <w:r>
      <w:tab/>
    </w:r>
    <w:r>
      <w:tab/>
    </w:r>
    <w:r w:rsidR="00BE7535">
      <w:fldChar w:fldCharType="begin"/>
    </w:r>
    <w:r w:rsidR="004A314E">
      <w:instrText>PAGE   \* MERGEFORMAT</w:instrText>
    </w:r>
    <w:r w:rsidR="00BE7535">
      <w:fldChar w:fldCharType="separate"/>
    </w:r>
    <w:r w:rsidR="00EB6BF9">
      <w:rPr>
        <w:noProof/>
      </w:rPr>
      <w:t>2</w:t>
    </w:r>
    <w:r w:rsidR="00BE7535">
      <w:rPr>
        <w:noProof/>
      </w:rPr>
      <w:fldChar w:fldCharType="end"/>
    </w:r>
  </w:p>
  <w:p w:rsidR="00480D99" w:rsidRDefault="00480D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84E" w:rsidRDefault="0045484E" w:rsidP="00634A36">
      <w:r>
        <w:separator/>
      </w:r>
    </w:p>
  </w:footnote>
  <w:footnote w:type="continuationSeparator" w:id="0">
    <w:p w:rsidR="0045484E" w:rsidRDefault="0045484E" w:rsidP="00634A36">
      <w:r>
        <w:continuationSeparator/>
      </w:r>
    </w:p>
  </w:footnote>
  <w:footnote w:type="continuationNotice" w:id="1">
    <w:p w:rsidR="0045484E" w:rsidRDefault="004548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D624E"/>
    <w:multiLevelType w:val="multilevel"/>
    <w:tmpl w:val="D18EB6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25B7085"/>
    <w:multiLevelType w:val="multilevel"/>
    <w:tmpl w:val="8EBA0B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8574D"/>
    <w:rsid w:val="00011CA6"/>
    <w:rsid w:val="000142BC"/>
    <w:rsid w:val="00015925"/>
    <w:rsid w:val="0002659A"/>
    <w:rsid w:val="00034633"/>
    <w:rsid w:val="000413BA"/>
    <w:rsid w:val="000513A1"/>
    <w:rsid w:val="000708DF"/>
    <w:rsid w:val="00070BF6"/>
    <w:rsid w:val="00090F04"/>
    <w:rsid w:val="000A26A0"/>
    <w:rsid w:val="000B5462"/>
    <w:rsid w:val="000D1BBB"/>
    <w:rsid w:val="000E48F1"/>
    <w:rsid w:val="000F34A8"/>
    <w:rsid w:val="00116C28"/>
    <w:rsid w:val="00125DDD"/>
    <w:rsid w:val="001262A3"/>
    <w:rsid w:val="00127FD5"/>
    <w:rsid w:val="00141BDC"/>
    <w:rsid w:val="00175B6D"/>
    <w:rsid w:val="001770B0"/>
    <w:rsid w:val="00196AC0"/>
    <w:rsid w:val="001C7379"/>
    <w:rsid w:val="001D653F"/>
    <w:rsid w:val="0020228D"/>
    <w:rsid w:val="00202891"/>
    <w:rsid w:val="0020376E"/>
    <w:rsid w:val="00215BA5"/>
    <w:rsid w:val="00243B9C"/>
    <w:rsid w:val="00254EE3"/>
    <w:rsid w:val="0029346D"/>
    <w:rsid w:val="002A159D"/>
    <w:rsid w:val="002B7A5C"/>
    <w:rsid w:val="002C6834"/>
    <w:rsid w:val="002D265A"/>
    <w:rsid w:val="002D4058"/>
    <w:rsid w:val="002D6819"/>
    <w:rsid w:val="002D6F87"/>
    <w:rsid w:val="002E5969"/>
    <w:rsid w:val="00303230"/>
    <w:rsid w:val="0030732A"/>
    <w:rsid w:val="003113CD"/>
    <w:rsid w:val="00316B22"/>
    <w:rsid w:val="003669D9"/>
    <w:rsid w:val="003C07B1"/>
    <w:rsid w:val="003E49CD"/>
    <w:rsid w:val="00407502"/>
    <w:rsid w:val="0042269D"/>
    <w:rsid w:val="0044333A"/>
    <w:rsid w:val="0045484E"/>
    <w:rsid w:val="004675DE"/>
    <w:rsid w:val="00480D99"/>
    <w:rsid w:val="004A314E"/>
    <w:rsid w:val="004B27DA"/>
    <w:rsid w:val="004C2B05"/>
    <w:rsid w:val="004D67F0"/>
    <w:rsid w:val="004F240C"/>
    <w:rsid w:val="004F60D8"/>
    <w:rsid w:val="00500E1B"/>
    <w:rsid w:val="00505E99"/>
    <w:rsid w:val="00505F3C"/>
    <w:rsid w:val="005321D4"/>
    <w:rsid w:val="00576B44"/>
    <w:rsid w:val="0058185B"/>
    <w:rsid w:val="00594024"/>
    <w:rsid w:val="005A055C"/>
    <w:rsid w:val="005D05C1"/>
    <w:rsid w:val="00615D36"/>
    <w:rsid w:val="006168D0"/>
    <w:rsid w:val="00634A36"/>
    <w:rsid w:val="006415CA"/>
    <w:rsid w:val="00642113"/>
    <w:rsid w:val="00666B7F"/>
    <w:rsid w:val="006C2F96"/>
    <w:rsid w:val="00700389"/>
    <w:rsid w:val="00724F44"/>
    <w:rsid w:val="00743456"/>
    <w:rsid w:val="007860D5"/>
    <w:rsid w:val="00787E78"/>
    <w:rsid w:val="007A3C1C"/>
    <w:rsid w:val="007E379D"/>
    <w:rsid w:val="007F4306"/>
    <w:rsid w:val="00817B92"/>
    <w:rsid w:val="008356AC"/>
    <w:rsid w:val="00855D0B"/>
    <w:rsid w:val="00866900"/>
    <w:rsid w:val="008759E4"/>
    <w:rsid w:val="00890481"/>
    <w:rsid w:val="008A41BB"/>
    <w:rsid w:val="00900B4F"/>
    <w:rsid w:val="009108D0"/>
    <w:rsid w:val="009404D2"/>
    <w:rsid w:val="0096029C"/>
    <w:rsid w:val="00965952"/>
    <w:rsid w:val="00982A60"/>
    <w:rsid w:val="009B37B2"/>
    <w:rsid w:val="009F4E0B"/>
    <w:rsid w:val="009F7D61"/>
    <w:rsid w:val="00A01E1B"/>
    <w:rsid w:val="00A14465"/>
    <w:rsid w:val="00A464D0"/>
    <w:rsid w:val="00A5601F"/>
    <w:rsid w:val="00A63DF9"/>
    <w:rsid w:val="00A655D9"/>
    <w:rsid w:val="00A728B7"/>
    <w:rsid w:val="00A80A55"/>
    <w:rsid w:val="00A823DB"/>
    <w:rsid w:val="00AA78E7"/>
    <w:rsid w:val="00AB5A01"/>
    <w:rsid w:val="00AF1552"/>
    <w:rsid w:val="00AF72D5"/>
    <w:rsid w:val="00B628E3"/>
    <w:rsid w:val="00B75003"/>
    <w:rsid w:val="00B80D65"/>
    <w:rsid w:val="00B87BF2"/>
    <w:rsid w:val="00BB2EA2"/>
    <w:rsid w:val="00BC6F98"/>
    <w:rsid w:val="00BC7EAE"/>
    <w:rsid w:val="00BE5DA5"/>
    <w:rsid w:val="00BE7535"/>
    <w:rsid w:val="00BF68CE"/>
    <w:rsid w:val="00C35C45"/>
    <w:rsid w:val="00C62942"/>
    <w:rsid w:val="00C63564"/>
    <w:rsid w:val="00C71657"/>
    <w:rsid w:val="00C723B7"/>
    <w:rsid w:val="00C76481"/>
    <w:rsid w:val="00C92698"/>
    <w:rsid w:val="00C95DE0"/>
    <w:rsid w:val="00CA2702"/>
    <w:rsid w:val="00CB2027"/>
    <w:rsid w:val="00CE3810"/>
    <w:rsid w:val="00CE6F11"/>
    <w:rsid w:val="00D30ACF"/>
    <w:rsid w:val="00D83781"/>
    <w:rsid w:val="00D8574D"/>
    <w:rsid w:val="00D92C28"/>
    <w:rsid w:val="00DD3952"/>
    <w:rsid w:val="00DF33FB"/>
    <w:rsid w:val="00E442AA"/>
    <w:rsid w:val="00E44402"/>
    <w:rsid w:val="00E66371"/>
    <w:rsid w:val="00EB6BF9"/>
    <w:rsid w:val="00EF2E53"/>
    <w:rsid w:val="00EF3463"/>
    <w:rsid w:val="00EF70E4"/>
    <w:rsid w:val="00F0768B"/>
    <w:rsid w:val="00F565AF"/>
    <w:rsid w:val="00F76FC5"/>
    <w:rsid w:val="00F8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3A9403E-2E44-4A15-B8F0-83C63DB9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7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CE6F11"/>
    <w:pPr>
      <w:widowControl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574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D8574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76B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76B44"/>
    <w:rPr>
      <w:rFonts w:ascii="Times New Roman" w:eastAsia="Times New Roman" w:hAnsi="Times New Roman"/>
      <w:sz w:val="20"/>
      <w:szCs w:val="20"/>
    </w:rPr>
  </w:style>
  <w:style w:type="paragraph" w:styleId="a7">
    <w:name w:val="Revision"/>
    <w:hidden/>
    <w:uiPriority w:val="99"/>
    <w:semiHidden/>
    <w:rsid w:val="00576B44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576B4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6B4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CE6F11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uiPriority w:val="99"/>
    <w:rsid w:val="00CE6F1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АРТЕМЕНКО ЛАРИСА МИХАЙЛОВНА</dc:creator>
  <cp:lastModifiedBy>Семенов Илья Олегович</cp:lastModifiedBy>
  <cp:revision>22</cp:revision>
  <cp:lastPrinted>2016-11-23T13:41:00Z</cp:lastPrinted>
  <dcterms:created xsi:type="dcterms:W3CDTF">2016-08-28T12:23:00Z</dcterms:created>
  <dcterms:modified xsi:type="dcterms:W3CDTF">2025-08-23T10:08:00Z</dcterms:modified>
</cp:coreProperties>
</file>